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обучения иностранным языкам в свете новых образовательных стандартов является формирование и развитие коммуникативной культуры школьников, обучение практическому овладению иностранным языком. Данная задача предполагает наличие у школьников не только практических умений, но и определенных качеств личности: общительности, раскованности, желания вступить в контакт, активности на уроке.  Одним из эффективных </w:t>
      </w:r>
      <w:proofErr w:type="gramStart"/>
      <w:r w:rsidRPr="0015704A">
        <w:rPr>
          <w:rFonts w:ascii="Times New Roman" w:eastAsia="Times New Roman" w:hAnsi="Times New Roman" w:cs="Times New Roman"/>
          <w:sz w:val="24"/>
          <w:szCs w:val="24"/>
        </w:rPr>
        <w:t>средств</w:t>
      </w:r>
      <w:proofErr w:type="gram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для воспитания подобных качеств обучающихся является игра.  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Как известно, игры на уроках способствуют выполнению важных методических задач: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- созданию психологической готовности у детей к речевому общению;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- обеспечению естественной необходимости многократного повторения языкового материала;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- тренировке учащихся в выборе нужного речевого варианта.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С помощью игр можно развивать также память, внимание, логическое мышление.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Обучающие игры помогают сделать процесс обучения иностранному языку интересным и творческим. Участие в игре повышает интерес детей к языку, помогает преодолеть психологический барьер — страх. Как правило, все обучающиеся принимают участие в игре, и это главное. В любой вид деятельности на уроке иностранного языка можно внести элементы игры, и тогда даже самое скучное занятие приобретает увлекательную форму.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Игр </w:t>
      </w:r>
      <w:proofErr w:type="gramStart"/>
      <w:r w:rsidRPr="0015704A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15704A">
        <w:rPr>
          <w:rFonts w:ascii="Times New Roman" w:eastAsia="Times New Roman" w:hAnsi="Times New Roman" w:cs="Times New Roman"/>
          <w:sz w:val="24"/>
          <w:szCs w:val="24"/>
        </w:rPr>
        <w:t>, и, конечно, невозможно использовать их все. Методисты считают, что «учителю нужно иметь в своем багаже примерно 10-15 игр, которые можно разнообразить отрабатывающимся лексическим (грамматическим) материалом, варьированием заданий в рамках одной и той же игры, степенью сложности»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В данном пособии я хочу поделиться опытом работы по проведению игр, разработанных мною лично или заимствованных у других учителей. Проведение этих игр не требует от учителя особых усилий и затрат, но способствует эффективному решению вышеназванных методических задач. Игры предназначены для </w:t>
      </w:r>
      <w:proofErr w:type="gramStart"/>
      <w:r w:rsidRPr="0015704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младшей и средней ступени.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1. В младших классах разучиваем большое количество четверостиший. Сначала записываю четверостишие на доске. После перевода и предварительной фонетической обработки начинаю постепенно стирать в строчках слова. Учащиеся должны, несмотря на пропуски, воспроизвести все четверостишие. Такого рода заучивание вызывает, как правило, огромный интерес у детей, и к моменту, когда на доске не остаётся ни одного слова, большинство детей могут рассказать стишок наизусть.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2. «Ромашка»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работе над грамматической темой «Спряжение глаголов» большую помощь оказывает игра "Ромашка". Ромашка с большими красочными лепестками (их столько, сколько личных местоимений) вывешивается на доске. Учитель показывает на один из лепестков, ученик читает местоимение и называет соответствующую ему форму спрягаемого глагола. С помощью ромашки можно тренировать также притяжательные местоимения, склонение личных местоимений и т.д.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.75pt;height:225.75pt"/>
        </w:pic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«Мой веселый, звонкий мяч»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В младших классах дети очень любят подвижные игры. Поэтому очень часто использую игру в мяч. Эта несложная игра позволяет тренировать как лексический,</w:t>
      </w:r>
      <w:r w:rsidRPr="0015704A">
        <w:rPr>
          <w:rFonts w:ascii="Times New Roman" w:eastAsia="Times New Roman" w:hAnsi="Times New Roman" w:cs="Times New Roman"/>
          <w:sz w:val="24"/>
          <w:szCs w:val="24"/>
        </w:rPr>
        <w:br/>
        <w:t>так и грамматический материал. При закреплении лексики учитель может давать различные установки, например: "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Übersetzt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ins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Russische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>!". Учитель бросает мяч одному из учеников, называя слово по-немецки, ученик должен вернуть мяч учителю, назвав его эквивалент по-русски. Я использую очень красочный, мягкий, звенящий мяч.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«Игра-цепочка»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Буквально с первых уроков устного вводного курса в начальной школе провожу "игру-цепочку" (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Kettenspiel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). Эта игра помогает </w:t>
      </w:r>
      <w:proofErr w:type="gramStart"/>
      <w:r w:rsidRPr="0015704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лучше запоминать заучиваемые выражения. Начинаю цепочку всегда сама, например: "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Jetzt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spielen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Kettenspiel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fange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heiße...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heißt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du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?" </w:t>
      </w:r>
      <w:proofErr w:type="gramStart"/>
      <w:r w:rsidRPr="0015704A">
        <w:rPr>
          <w:rFonts w:ascii="Times New Roman" w:eastAsia="Times New Roman" w:hAnsi="Times New Roman" w:cs="Times New Roman"/>
          <w:sz w:val="24"/>
          <w:szCs w:val="24"/>
        </w:rPr>
        <w:t>Последний</w:t>
      </w:r>
      <w:proofErr w:type="gram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в цепочке обращается не к товарищу, а к учителю, тренируя тем самым вежливую форму.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«Волшебный алфавит»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lastRenderedPageBreak/>
        <w:t>Во вторых классах для тренировки алфавита использую такие игры как "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704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ВС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deutschen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Nаmеn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>" и "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ABC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deutschen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Städte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>". На доске выставляется плакат (</w:t>
      </w:r>
      <w:proofErr w:type="gramStart"/>
      <w:r w:rsidRPr="0015704A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15704A">
        <w:rPr>
          <w:rFonts w:ascii="Times New Roman" w:eastAsia="Times New Roman" w:hAnsi="Times New Roman" w:cs="Times New Roman"/>
          <w:sz w:val="24"/>
          <w:szCs w:val="24"/>
        </w:rPr>
        <w:t>. таблицу). Учащиеся зачитывают имена и названия городов в алфавитном порядке. Игра проводится фронтально. Ученик, допустивший ошибку, выбывает из игры.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616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9"/>
        <w:gridCol w:w="2055"/>
        <w:gridCol w:w="2071"/>
      </w:tblGrid>
      <w:tr w:rsidR="002A2CCF" w:rsidRPr="0015704A" w:rsidTr="002A2CCF">
        <w:trPr>
          <w:trHeight w:val="390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Udo</w:t>
            </w:r>
            <w:proofErr w:type="spellEnd"/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Ina</w:t>
            </w:r>
            <w:proofErr w:type="spellEnd"/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Franz</w:t>
            </w:r>
            <w:proofErr w:type="spellEnd"/>
          </w:p>
        </w:tc>
      </w:tr>
      <w:tr w:rsidR="002A2CCF" w:rsidRPr="0015704A" w:rsidTr="002A2CCF">
        <w:trPr>
          <w:trHeight w:val="420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Lothar</w:t>
            </w:r>
            <w:proofErr w:type="spellEnd"/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Otto</w:t>
            </w:r>
            <w:proofErr w:type="spellEnd"/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Xenia</w:t>
            </w:r>
            <w:proofErr w:type="spellEnd"/>
          </w:p>
        </w:tc>
      </w:tr>
      <w:tr w:rsidR="002A2CCF" w:rsidRPr="0015704A" w:rsidTr="002A2CCF">
        <w:trPr>
          <w:trHeight w:val="405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Elli</w:t>
            </w:r>
            <w:proofErr w:type="spellEnd"/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Werner</w:t>
            </w:r>
            <w:proofErr w:type="spellEnd"/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Bernd</w:t>
            </w:r>
            <w:proofErr w:type="spellEnd"/>
          </w:p>
        </w:tc>
      </w:tr>
      <w:tr w:rsidR="002A2CCF" w:rsidRPr="0015704A" w:rsidTr="002A2CCF">
        <w:trPr>
          <w:trHeight w:val="420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Ralf</w:t>
            </w:r>
            <w:proofErr w:type="spellEnd"/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Ada</w:t>
            </w:r>
            <w:proofErr w:type="spellEnd"/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Klaus</w:t>
            </w:r>
            <w:proofErr w:type="spellEnd"/>
          </w:p>
        </w:tc>
      </w:tr>
      <w:tr w:rsidR="002A2CCF" w:rsidRPr="0015704A" w:rsidTr="002A2CCF">
        <w:trPr>
          <w:trHeight w:val="420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Steffi</w:t>
            </w:r>
            <w:proofErr w:type="spellEnd"/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Peter</w:t>
            </w:r>
            <w:proofErr w:type="spellEnd"/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Monika</w:t>
            </w:r>
            <w:proofErr w:type="spellEnd"/>
          </w:p>
        </w:tc>
      </w:tr>
      <w:tr w:rsidR="002A2CCF" w:rsidRPr="0015704A" w:rsidTr="002A2CCF">
        <w:trPr>
          <w:trHeight w:val="405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Veronika</w:t>
            </w:r>
            <w:proofErr w:type="spellEnd"/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Nina</w:t>
            </w:r>
            <w:proofErr w:type="spellEnd"/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Dieter</w:t>
            </w:r>
            <w:proofErr w:type="spellEnd"/>
          </w:p>
        </w:tc>
      </w:tr>
      <w:tr w:rsidR="002A2CCF" w:rsidRPr="0015704A" w:rsidTr="002A2CCF">
        <w:trPr>
          <w:trHeight w:val="420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Toni</w:t>
            </w:r>
            <w:proofErr w:type="spellEnd"/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Gabi</w:t>
            </w:r>
            <w:proofErr w:type="spellEnd"/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Jutta</w:t>
            </w:r>
            <w:proofErr w:type="spellEnd"/>
          </w:p>
        </w:tc>
      </w:tr>
      <w:tr w:rsidR="002A2CCF" w:rsidRPr="0015704A" w:rsidTr="002A2CCF">
        <w:trPr>
          <w:trHeight w:val="405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Hans</w:t>
            </w:r>
            <w:proofErr w:type="spellEnd"/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6. «Исправь учителя»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Эту игру организовать несложно, и она вызывает неизменный интерес у малышей. Учитель предлагает повторить материал и расставляет на доске карточки. На них могут быть буквы, цвета, числительные. (Для детей постарше — предметные картинки). Затем он по порядку называет то, что изображено на карточках, дети хором повторяют за учителем, но при этом учитель иногда «ошибается». Задача детей - заметить ошибку и хором «исправить» учителя.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7. «Запомни»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Очень часто в младших классах для тренировки лексики, числительных, цветов провожу игру "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Merkt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euch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>!". Суть этой игры проста. Учитель выставляет на доске предметные картинки, карточки цветов или карточки числительных. Затем он предлагает учащимся закрыть глаза и в это время убирает с доски 1-2 карточки. Дается команда открыть глаза. Дети должны сказать, каких карточек не хватает на доске.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8. "Чудо-дерево"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Игра "Чудо-дерево" позволяет тренировать самую различную лексику, а также числительные, алфавит. Нужен плакат, на котором нарисованы два дерева. К веткам </w:t>
      </w:r>
      <w:r w:rsidRPr="0015704A">
        <w:rPr>
          <w:rFonts w:ascii="Times New Roman" w:eastAsia="Times New Roman" w:hAnsi="Times New Roman" w:cs="Times New Roman"/>
          <w:sz w:val="24"/>
          <w:szCs w:val="24"/>
        </w:rPr>
        <w:lastRenderedPageBreak/>
        <w:t>дерева прикреплены маленькие крючки или кармашки из бумаги. Игрушки-карточки любой формы вырезаются из плотной бумаги. К ним приклеиваются петли из тонкой тесьмы. На карточках могут быть изображены различные предметы, числительные, буквы алфавита. Класс делится на команды. Игроки</w:t>
      </w:r>
      <w:r w:rsidRPr="0015704A">
        <w:rPr>
          <w:rFonts w:ascii="Times New Roman" w:eastAsia="Times New Roman" w:hAnsi="Times New Roman" w:cs="Times New Roman"/>
          <w:sz w:val="24"/>
          <w:szCs w:val="24"/>
        </w:rPr>
        <w:br/>
        <w:t>каждой команды получают коробку с карточками и по очереди называют то, что изображено на карточках. Если ученик правильно назвал то, что изображено на</w:t>
      </w:r>
      <w:r w:rsidRPr="0015704A">
        <w:rPr>
          <w:rFonts w:ascii="Times New Roman" w:eastAsia="Times New Roman" w:hAnsi="Times New Roman" w:cs="Times New Roman"/>
          <w:sz w:val="24"/>
          <w:szCs w:val="24"/>
        </w:rPr>
        <w:br/>
        <w:t>карточке, он вешает её на "чудо-дерево", если нет, карточка кладется под дерево. Выигрывает та команда, которая повесила на своё дерево больше карточек.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9. «Угадай-ка» - I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Очень часто использую эту игру.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П. -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Kinder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heute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Märchenperson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gekommen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Ratet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wer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У. -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Malvina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П. -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Nein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Malvina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В качестве опоры на доске можно повесить схему тренируемого речевого образца.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10. «Угадай-ка» - II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Игру типа "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Ratet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>!" можно провести несколько иным образом. В шестом классе, изучая тему "Фрукты и овощи", мы играем так. Водящему завязывают глаза платком, и он должен отгадать, что за фрукт или овощ лежит перед ним. Это могут быть просто муляжи. Выигрывает и получает хорошую оценку тот, кто правильно называет слово по-немецки. Можно предложить испытуемому 5 предметов. За каждый правильный ответ он получает балл.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11. «Кто больше?»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В эту игру играют двое. Ученики выходят к доске и становятся лицом друг к другу. Учитель дает одному из них мяч. Перебрасывая мяч друг другу, ученики называют слова по определенной теме. Проигрывает тот, кто не сможет назвать следующее слово.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12. «Мастер слова»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Эту игру использую при работе над темой "Производные и сложные слова". Учащимся предлагаются слова. Из этих слов они должны составить как можно больше новых слов. Побеждает тот, кто за определенный промежуток времени составит большее количество слов. Например, по теме «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Wohnung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485.25pt;height:344.25pt"/>
        </w:pic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13. «Разноцветные ступеньки»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Чтобы обучающиеся лучше усвоили такую</w:t>
      </w:r>
      <w:r w:rsidRPr="0015704A">
        <w:rPr>
          <w:rFonts w:ascii="Times New Roman" w:eastAsia="Times New Roman" w:hAnsi="Times New Roman" w:cs="Times New Roman"/>
          <w:sz w:val="24"/>
          <w:szCs w:val="24"/>
        </w:rPr>
        <w:br/>
        <w:t>сложную грамматическую тему, как 3 основные формы глаголов, часто провожу игру, которую называю "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Bunte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Stufen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>". На доске вывешивается плакат (</w:t>
      </w:r>
      <w:proofErr w:type="gramStart"/>
      <w:r w:rsidRPr="0015704A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15704A">
        <w:rPr>
          <w:rFonts w:ascii="Times New Roman" w:eastAsia="Times New Roman" w:hAnsi="Times New Roman" w:cs="Times New Roman"/>
          <w:sz w:val="24"/>
          <w:szCs w:val="24"/>
        </w:rPr>
        <w:t>. таблицу). Опрашиваемый ученик начинает как бы «взбираться» по ступенькам. Перешагнуть на следующую ступеньку он может только, если правильно назовёт все три формы глагола. Считается, что тот, кто ошибся, упал с лестницы. Желательно сопровождать игру замечаниями типа: "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Schön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du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stehst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schon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Spitze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>!", "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Schade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aber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du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bist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niedergefallen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>!" и т.д.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Есть и другой вариант данной игры. Можно попросить </w:t>
      </w:r>
      <w:proofErr w:type="gramStart"/>
      <w:r w:rsidRPr="0015704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назвать все данные глаголы в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Infinitiv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или в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Präteritum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, или назвать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Partizip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II данных глаголов; назвать отличительные признаки той или иной формы. Одним словом, таблица универсальна.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Игра называется «Пестрые ступеньки», так как три формы глаголов выделена разным цветом, например,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Infinitiv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– зеленый,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Präteritum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– красный,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Partizip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II – желтый.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br/>
      </w:r>
      <w:r w:rsidRPr="0015704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10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81"/>
        <w:gridCol w:w="1091"/>
        <w:gridCol w:w="1318"/>
        <w:gridCol w:w="76"/>
        <w:gridCol w:w="470"/>
        <w:gridCol w:w="182"/>
        <w:gridCol w:w="136"/>
        <w:gridCol w:w="939"/>
        <w:gridCol w:w="182"/>
        <w:gridCol w:w="242"/>
        <w:gridCol w:w="1757"/>
        <w:gridCol w:w="258"/>
        <w:gridCol w:w="1273"/>
      </w:tblGrid>
      <w:tr w:rsidR="002A2CCF" w:rsidRPr="0015704A" w:rsidTr="002A2CCF">
        <w:trPr>
          <w:trHeight w:val="570"/>
        </w:trPr>
        <w:tc>
          <w:tcPr>
            <w:tcW w:w="3630" w:type="dxa"/>
            <w:gridSpan w:val="4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gesprochen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CCF" w:rsidRPr="0015704A" w:rsidTr="002A2CCF">
        <w:trPr>
          <w:trHeight w:val="540"/>
        </w:trPr>
        <w:tc>
          <w:tcPr>
            <w:tcW w:w="22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kam</w:t>
            </w:r>
            <w:proofErr w:type="spellEnd"/>
          </w:p>
        </w:tc>
        <w:tc>
          <w:tcPr>
            <w:tcW w:w="6675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CCF" w:rsidRPr="0015704A" w:rsidTr="002A2CCF">
        <w:trPr>
          <w:trHeight w:val="540"/>
        </w:trPr>
        <w:tc>
          <w:tcPr>
            <w:tcW w:w="1170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geflogen</w:t>
            </w:r>
            <w:proofErr w:type="spellEnd"/>
          </w:p>
        </w:tc>
        <w:tc>
          <w:tcPr>
            <w:tcW w:w="5295" w:type="dxa"/>
            <w:gridSpan w:val="10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CCF" w:rsidRPr="0015704A" w:rsidTr="002A2CCF">
        <w:trPr>
          <w:trHeight w:val="540"/>
        </w:trPr>
        <w:tc>
          <w:tcPr>
            <w:tcW w:w="2250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bleiben</w:t>
            </w:r>
            <w:proofErr w:type="spellEnd"/>
          </w:p>
        </w:tc>
        <w:tc>
          <w:tcPr>
            <w:tcW w:w="4425" w:type="dxa"/>
            <w:gridSpan w:val="6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CCF" w:rsidRPr="0015704A" w:rsidTr="002A2CCF">
        <w:trPr>
          <w:trHeight w:val="525"/>
        </w:trPr>
        <w:tc>
          <w:tcPr>
            <w:tcW w:w="5760" w:type="dxa"/>
            <w:gridSpan w:val="10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fuhr</w:t>
            </w:r>
            <w:proofErr w:type="spellEnd"/>
          </w:p>
        </w:tc>
        <w:tc>
          <w:tcPr>
            <w:tcW w:w="3165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CCF" w:rsidRPr="0015704A" w:rsidTr="002A2CCF">
        <w:trPr>
          <w:trHeight w:val="540"/>
        </w:trPr>
        <w:tc>
          <w:tcPr>
            <w:tcW w:w="4275" w:type="dxa"/>
            <w:gridSpan w:val="6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geschwommen</w:t>
            </w:r>
            <w:proofErr w:type="spellEnd"/>
          </w:p>
        </w:tc>
      </w:tr>
      <w:tr w:rsidR="002A2CCF" w:rsidRPr="0015704A" w:rsidTr="002A2CCF">
        <w:trPr>
          <w:trHeight w:val="540"/>
        </w:trPr>
        <w:tc>
          <w:tcPr>
            <w:tcW w:w="5520" w:type="dxa"/>
            <w:gridSpan w:val="9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aufstehen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CCF" w:rsidRPr="0015704A" w:rsidTr="002A2CCF">
        <w:trPr>
          <w:trHeight w:val="525"/>
        </w:trPr>
        <w:tc>
          <w:tcPr>
            <w:tcW w:w="9015" w:type="dxa"/>
            <w:gridSpan w:val="13"/>
            <w:tcBorders>
              <w:top w:val="single" w:sz="6" w:space="0" w:color="000001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gegangen</w:t>
            </w:r>
            <w:proofErr w:type="spellEnd"/>
          </w:p>
        </w:tc>
      </w:tr>
      <w:tr w:rsidR="002A2CCF" w:rsidRPr="0015704A" w:rsidTr="002A2CCF">
        <w:trPr>
          <w:trHeight w:val="540"/>
        </w:trPr>
        <w:tc>
          <w:tcPr>
            <w:tcW w:w="5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lief</w:t>
            </w:r>
            <w:proofErr w:type="spellEnd"/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CCF" w:rsidRPr="0015704A" w:rsidTr="002A2CCF">
        <w:trPr>
          <w:trHeight w:val="525"/>
        </w:trPr>
        <w:tc>
          <w:tcPr>
            <w:tcW w:w="4275" w:type="dxa"/>
            <w:gridSpan w:val="6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springen</w:t>
            </w:r>
            <w:proofErr w:type="spellEnd"/>
          </w:p>
        </w:tc>
      </w:tr>
      <w:tr w:rsidR="002A2CCF" w:rsidRPr="0015704A" w:rsidTr="002A2CCF">
        <w:trPr>
          <w:trHeight w:val="540"/>
        </w:trPr>
        <w:tc>
          <w:tcPr>
            <w:tcW w:w="5760" w:type="dxa"/>
            <w:gridSpan w:val="10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getrieben</w:t>
            </w:r>
            <w:proofErr w:type="spellEnd"/>
          </w:p>
        </w:tc>
        <w:tc>
          <w:tcPr>
            <w:tcW w:w="316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CCF" w:rsidRPr="0015704A" w:rsidTr="002A2CCF">
        <w:trPr>
          <w:trHeight w:val="540"/>
        </w:trPr>
        <w:tc>
          <w:tcPr>
            <w:tcW w:w="2250" w:type="dxa"/>
            <w:gridSpan w:val="2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sang</w:t>
            </w:r>
            <w:proofErr w:type="spellEnd"/>
          </w:p>
        </w:tc>
        <w:tc>
          <w:tcPr>
            <w:tcW w:w="4425" w:type="dxa"/>
            <w:gridSpan w:val="6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CCF" w:rsidRPr="0015704A" w:rsidTr="002A2CCF">
        <w:trPr>
          <w:trHeight w:val="540"/>
        </w:trPr>
        <w:tc>
          <w:tcPr>
            <w:tcW w:w="117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gegessen</w:t>
            </w:r>
            <w:proofErr w:type="spellEnd"/>
          </w:p>
        </w:tc>
        <w:tc>
          <w:tcPr>
            <w:tcW w:w="5295" w:type="dxa"/>
            <w:gridSpan w:val="10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CCF" w:rsidRPr="0015704A" w:rsidTr="002A2CCF">
        <w:trPr>
          <w:trHeight w:val="585"/>
        </w:trPr>
        <w:tc>
          <w:tcPr>
            <w:tcW w:w="22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fahren</w:t>
            </w:r>
            <w:proofErr w:type="spellEnd"/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A2CCF" w:rsidRPr="0015704A" w:rsidRDefault="002A2CCF" w:rsidP="0015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14. «Что это за картина?»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В младших классах для развития навыков аудирования и говорения я провожу игру "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Bild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habe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04A">
        <w:rPr>
          <w:rFonts w:ascii="Times New Roman" w:eastAsia="Times New Roman" w:hAnsi="Times New Roman" w:cs="Times New Roman"/>
          <w:sz w:val="24"/>
          <w:szCs w:val="24"/>
        </w:rPr>
        <w:t>beschrieben</w:t>
      </w:r>
      <w:proofErr w:type="spellEnd"/>
      <w:r w:rsidRPr="0015704A">
        <w:rPr>
          <w:rFonts w:ascii="Times New Roman" w:eastAsia="Times New Roman" w:hAnsi="Times New Roman" w:cs="Times New Roman"/>
          <w:sz w:val="24"/>
          <w:szCs w:val="24"/>
        </w:rPr>
        <w:t>?". Ученикам раздаются карточки, на которых наклеены 3 картинки. Две картинки должны быть похожи и отличаются лишь некоторыми деталями, 3-я значительно отличается от первых двух. Учитель зачитывает описание одной из похожих картинок. Учащиеся должны внимательно прослушать описание и назвать номер картинки, которая соответствует описанию. На обратной стороне карточки можно дать задание подготовить рассказ-описание картинки, используя предложения-опоры.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lastRenderedPageBreak/>
        <w:t>15. «Читаем до первой ошибки»</w:t>
      </w:r>
    </w:p>
    <w:p w:rsidR="002A2CCF" w:rsidRPr="0015704A" w:rsidRDefault="002A2CCF" w:rsidP="0015704A">
      <w:pPr>
        <w:rPr>
          <w:rFonts w:ascii="Times New Roman" w:eastAsia="Times New Roman" w:hAnsi="Times New Roman" w:cs="Times New Roman"/>
          <w:sz w:val="24"/>
          <w:szCs w:val="24"/>
        </w:rPr>
      </w:pPr>
      <w:r w:rsidRPr="0015704A">
        <w:rPr>
          <w:rFonts w:ascii="Times New Roman" w:eastAsia="Times New Roman" w:hAnsi="Times New Roman" w:cs="Times New Roman"/>
          <w:sz w:val="24"/>
          <w:szCs w:val="24"/>
        </w:rPr>
        <w:t>Каждый учитель, работающий в младших классах, прикладывает немало усилий для того, чтобы научить детей правильно читать. Здесь тоже помогают игры. Одну из них я назвала: «Читаем до первой ошибки». Сначала читаю текст сама, дети переводят. Затем 1-2 минуты дети читают те</w:t>
      </w:r>
      <w:proofErr w:type="gramStart"/>
      <w:r w:rsidRPr="0015704A">
        <w:rPr>
          <w:rFonts w:ascii="Times New Roman" w:eastAsia="Times New Roman" w:hAnsi="Times New Roman" w:cs="Times New Roman"/>
          <w:sz w:val="24"/>
          <w:szCs w:val="24"/>
        </w:rPr>
        <w:t>кст вп</w:t>
      </w:r>
      <w:proofErr w:type="gram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олголоса самостоятельно. После чего начинается игра. С помощью считалки можно выбрать первого читающего. Если он допускает ошибку в чтении, то на целый круг выбывает из игры, очередь переходит к следующему. Каждый следующий ученик начинает читать текст сначала и т.д. Побеждает тот, кто сумел прочитать текст без ошибок до конца. Эта игра заставляет сосредоточиться, учесть ошибки тех, кто читал до тебя, и </w:t>
      </w:r>
      <w:proofErr w:type="gramStart"/>
      <w:r w:rsidRPr="0015704A">
        <w:rPr>
          <w:rFonts w:ascii="Times New Roman" w:eastAsia="Times New Roman" w:hAnsi="Times New Roman" w:cs="Times New Roman"/>
          <w:sz w:val="24"/>
          <w:szCs w:val="24"/>
        </w:rPr>
        <w:t>запомнить</w:t>
      </w:r>
      <w:proofErr w:type="gramEnd"/>
      <w:r w:rsidRPr="0015704A">
        <w:rPr>
          <w:rFonts w:ascii="Times New Roman" w:eastAsia="Times New Roman" w:hAnsi="Times New Roman" w:cs="Times New Roman"/>
          <w:sz w:val="24"/>
          <w:szCs w:val="24"/>
        </w:rPr>
        <w:t xml:space="preserve"> как следует правила чтения.</w:t>
      </w:r>
    </w:p>
    <w:p w:rsidR="002A2CCF" w:rsidRPr="002A2CCF" w:rsidRDefault="002A2CCF" w:rsidP="002A2C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00000" w:rsidRDefault="002A2CC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02C13">
          <w:rPr>
            <w:rStyle w:val="a4"/>
            <w:rFonts w:ascii="Times New Roman" w:hAnsi="Times New Roman" w:cs="Times New Roman"/>
            <w:sz w:val="24"/>
            <w:szCs w:val="24"/>
          </w:rPr>
          <w:t>https://mega-talant.com/biblioteka/nemeckiy-yazyk/klass-14</w:t>
        </w:r>
      </w:hyperlink>
    </w:p>
    <w:p w:rsidR="002A2CCF" w:rsidRDefault="0015704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02C13">
          <w:rPr>
            <w:rStyle w:val="a4"/>
            <w:rFonts w:ascii="Times New Roman" w:hAnsi="Times New Roman" w:cs="Times New Roman"/>
            <w:sz w:val="24"/>
            <w:szCs w:val="24"/>
          </w:rPr>
          <w:t>https://mega-talant.com/biblioteka/nemeckiy-yazyk/klass-17</w:t>
        </w:r>
      </w:hyperlink>
    </w:p>
    <w:p w:rsidR="0015704A" w:rsidRPr="002A2CCF" w:rsidRDefault="0015704A">
      <w:pPr>
        <w:rPr>
          <w:rFonts w:ascii="Times New Roman" w:hAnsi="Times New Roman" w:cs="Times New Roman"/>
          <w:sz w:val="24"/>
          <w:szCs w:val="24"/>
        </w:rPr>
      </w:pPr>
    </w:p>
    <w:sectPr w:rsidR="0015704A" w:rsidRPr="002A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913"/>
    <w:multiLevelType w:val="multilevel"/>
    <w:tmpl w:val="8FE2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E5376"/>
    <w:multiLevelType w:val="multilevel"/>
    <w:tmpl w:val="1D4C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116BC"/>
    <w:multiLevelType w:val="multilevel"/>
    <w:tmpl w:val="B1C8C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CCF"/>
    <w:rsid w:val="0015704A"/>
    <w:rsid w:val="002A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A2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-talant.com/biblioteka/nemeckiy-yazyk/klass-17" TargetMode="External"/><Relationship Id="rId5" Type="http://schemas.openxmlformats.org/officeDocument/2006/relationships/hyperlink" Target="https://mega-talant.com/biblioteka/nemeckiy-yazyk/klass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2021-10-10T13:36:00Z</dcterms:created>
  <dcterms:modified xsi:type="dcterms:W3CDTF">2021-10-10T13:50:00Z</dcterms:modified>
</cp:coreProperties>
</file>